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21" w:leftChars="-10" w:firstLine="19" w:firstLineChars="8"/>
        <w:jc w:val="center"/>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企業が作成する就業規則等の規則方法及び記載例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・作成に当たっては、手当等の支給対象者の範囲、支給時期（毎月支給、賞与時支給、採用年度から○年度まで等）、金額等を記載していただく必要があります。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・以下に、既存の就業規則に条項を追加した上で、詳細について別規程で定める場合の記載例を示します。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・記載例ですので、自由に設定いただいて構いませんが、中小企業等奨学金返還支援</w:t>
      </w:r>
      <w:bookmarkStart w:id="0" w:name="_GoBack"/>
      <w:bookmarkEnd w:id="0"/>
      <w:r>
        <w:rPr>
          <w:rFonts w:hint="eastAsia" w:ascii="ＭＳ 明朝" w:hAnsi="ＭＳ 明朝" w:eastAsia="ＭＳ 明朝"/>
          <w:color w:val="000000"/>
          <w:kern w:val="0"/>
          <w:sz w:val="24"/>
          <w:shd w:val="clear" w:color="auto" w:fill="auto"/>
        </w:rPr>
        <w:t>事業の補助金の支給には一定の要件があります。</w:t>
      </w:r>
    </w:p>
    <w:p>
      <w:pPr>
        <w:pStyle w:val="0"/>
        <w:spacing w:line="360" w:lineRule="exact"/>
        <w:ind w:left="-21" w:leftChars="-10" w:firstLine="19" w:firstLineChars="8"/>
        <w:rPr>
          <w:rFonts w:hint="eastAsia" w:ascii="ＭＳ 明朝" w:hAnsi="ＭＳ 明朝" w:eastAsia="ＭＳ 明朝"/>
          <w:color w:val="000000"/>
          <w:kern w:val="0"/>
          <w:sz w:val="24"/>
          <w:shd w:val="clear" w:color="auto" w:fill="auto"/>
        </w:rPr>
      </w:pP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１　就業規則</w:t>
      </w: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-38735</wp:posOffset>
                </wp:positionH>
                <wp:positionV relativeFrom="paragraph">
                  <wp:posOffset>303530</wp:posOffset>
                </wp:positionV>
                <wp:extent cx="5953125" cy="134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3.9pt;mso-position-vertical-relative:text;mso-position-horizontal-relative:text;position:absolute;height:105.75pt;mso-wrap-distance-top:0pt;width:468.75pt;mso-wrap-distance-left:16pt;margin-left:-3.05pt;z-index:3;" o:spid="_x0000_s1026"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（１）手当支給の場合</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（奨学金返還支援手当）</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奨学金返還手当は、過去に奨学金を受給し、現に奨学金を返還している者に対し、支援する。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-48260</wp:posOffset>
                </wp:positionH>
                <wp:positionV relativeFrom="paragraph">
                  <wp:posOffset>322580</wp:posOffset>
                </wp:positionV>
                <wp:extent cx="5953125" cy="1343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5.4pt;mso-position-vertical-relative:text;mso-position-horizontal-relative:text;position:absolute;height:105.75pt;mso-wrap-distance-top:0pt;width:468.75pt;mso-wrap-distance-left:16pt;margin-left:-3.8pt;z-index:4;" o:spid="_x0000_s1027"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（２）奨学金貸与機関に直接送金する場合（代理返還する場合）</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奨学金返還支援は、過去に奨学金を受給し、現に奨学金を返還している者に対し、会社が当該奨学金の返還額の一部を奨学金貸与機関に直接送金し、支援する。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192405</wp:posOffset>
                </wp:positionV>
                <wp:extent cx="5904230" cy="2451100"/>
                <wp:effectExtent l="635" t="635" r="29845" b="10795"/>
                <wp:wrapNone/>
                <wp:docPr id="1028" name="正方形/長方形 4"/>
                <a:graphic xmlns:a="http://schemas.openxmlformats.org/drawingml/2006/main">
                  <a:graphicData uri="http://schemas.microsoft.com/office/word/2010/wordprocessingShape">
                    <wps:wsp>
                      <wps:cNvPr id="1028" name="正方形/長方形 4"/>
                      <wps:cNvSpPr/>
                      <wps:spPr>
                        <a:xfrm>
                          <a:off x="0" y="0"/>
                          <a:ext cx="5904230" cy="24511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5.15pt;mso-position-vertical-relative:text;mso-position-horizontal-relative:text;v-text-anchor:middle;position:absolute;height:193pt;mso-wrap-distance-top:0pt;width:464.9pt;mso-wrap-distance-left:9pt;margin-left:5.e-002pt;z-index:2;" o:spid="_x0000_s1028" o:allowincell="t" o:allowoverlap="t" filled="t" fillcolor="#ffffff [3212]" stroked="t" strokecolor="#000000 [3213]" strokeweight="0.25pt" o:spt="1">
                <v:fill/>
                <v:stroke linestyle="single" miterlimit="8" endcap="flat" dashstyle="solid" filltype="solid"/>
                <v:textbox style="layout-flow:horizontal;">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v:textbox>
                <v:imagedata o:title=""/>
                <w10:wrap type="none" anchorx="text" anchory="text"/>
              </v:rect>
            </w:pict>
          </mc:Fallback>
        </mc:AlternateConten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w:br w:type="page"/>
      </w: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２　社内規程</w:t>
      </w:r>
    </w:p>
    <w:p>
      <w:pPr>
        <w:pStyle w:val="0"/>
        <w:spacing w:line="360" w:lineRule="exact"/>
        <w:ind w:leftChars="0" w:firstLineChars="0"/>
        <w:jc w:val="center"/>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奨学金返還支援制度規程</w:t>
      </w:r>
    </w:p>
    <w:p>
      <w:pPr>
        <w:pStyle w:val="0"/>
        <w:spacing w:line="360" w:lineRule="exact"/>
        <w:ind w:leftChars="0" w:firstLineChars="0"/>
        <w:jc w:val="right"/>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株式会社○○○○</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（目的）</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第１条　この</w:t>
      </w:r>
      <w:r>
        <w:rPr>
          <w:rFonts w:hint="default" w:ascii="ＭＳ 明朝" w:hAnsi="ＭＳ 明朝" w:eastAsia="ＭＳ 明朝"/>
          <w:color w:val="000000"/>
          <w:kern w:val="0"/>
        </w:rPr>
        <w:t>規程は、奨学金返還支援制度につ</w:t>
      </w:r>
      <w:r>
        <w:rPr>
          <w:rFonts w:hint="eastAsia" w:ascii="ＭＳ 明朝" w:hAnsi="ＭＳ 明朝" w:eastAsia="ＭＳ 明朝"/>
          <w:color w:val="000000"/>
          <w:kern w:val="0"/>
        </w:rPr>
        <w:t>いて定めたものである。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w:t>
      </w:r>
      <w:r>
        <w:rPr>
          <w:rFonts w:hint="eastAsia" w:ascii="ＭＳ 明朝" w:hAnsi="ＭＳ 明朝" w:eastAsia="ＭＳ 明朝"/>
          <w:color w:val="000000"/>
          <w:kern w:val="0"/>
          <w:u w:val="none" w:color="auto"/>
        </w:rPr>
        <w:t>奨学金返還支援手当（以下「手当」という。）として支援する</w:t>
      </w:r>
      <w:r>
        <w:rPr>
          <w:rFonts w:hint="eastAsia" w:ascii="ＭＳ 明朝" w:hAnsi="ＭＳ 明朝" w:eastAsia="ＭＳ 明朝"/>
          <w:color w:val="000000"/>
          <w:kern w:val="0"/>
        </w:rPr>
        <w:t>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104775</wp:posOffset>
                </wp:positionH>
                <wp:positionV relativeFrom="paragraph">
                  <wp:posOffset>116205</wp:posOffset>
                </wp:positionV>
                <wp:extent cx="5705475" cy="9429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705475" cy="94297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9.15pt;mso-position-vertical-relative:text;mso-position-horizontal-relative:text;position:absolute;height:74.25pt;mso-wrap-distance-top:0pt;width:449.25pt;mso-wrap-distance-left:16pt;margin-left:8.25pt;z-index:5;" o:spid="_x0000_s1029"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奨学金貸与機関に直接送金（以下「代理返還」という。）して支援する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（支援制度の対象者）</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第３条　</w:t>
      </w:r>
      <w:r>
        <w:rPr>
          <w:rFonts w:hint="default" w:ascii="ＭＳ 明朝" w:hAnsi="ＭＳ 明朝" w:eastAsia="ＭＳ 明朝"/>
          <w:color w:val="000000"/>
          <w:kern w:val="0"/>
        </w:rPr>
        <w:t>支援制度の対象者は、次のいずれにも該当する者（以下「支援対象者」という。）とする。</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就業規則第○条に定める正社員であること。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採用された日の属する年度の３月</w:t>
      </w:r>
      <w:r>
        <w:rPr>
          <w:rFonts w:hint="eastAsia" w:ascii="ＭＳ 明朝" w:hAnsi="ＭＳ 明朝" w:eastAsia="ＭＳ 明朝"/>
          <w:color w:val="000000"/>
          <w:kern w:val="0"/>
          <w:u w:val="single" w:color="auto"/>
        </w:rPr>
        <w:t>31</w:t>
      </w:r>
      <w:r>
        <w:rPr>
          <w:rFonts w:hint="eastAsia" w:ascii="ＭＳ 明朝" w:hAnsi="ＭＳ 明朝" w:eastAsia="ＭＳ 明朝"/>
          <w:color w:val="000000"/>
          <w:kern w:val="0"/>
          <w:u w:val="single" w:color="auto"/>
        </w:rPr>
        <w:t>日において、</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歳以下であること。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(3)</w:t>
      </w:r>
      <w:r>
        <w:rPr>
          <w:rFonts w:hint="eastAsia" w:ascii="ＭＳ 明朝" w:hAnsi="ＭＳ 明朝" w:eastAsia="ＭＳ 明朝"/>
          <w:color w:val="000000"/>
          <w:kern w:val="0"/>
        </w:rPr>
        <w:t>　奨学金を受給し、現に奨学金返還をしている者であること。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(4)</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○○市（町）内に住民登録があること。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(5)</w:t>
      </w:r>
      <w:r>
        <w:rPr>
          <w:rFonts w:hint="eastAsia" w:ascii="ＭＳ 明朝" w:hAnsi="ＭＳ 明朝" w:eastAsia="ＭＳ 明朝"/>
          <w:color w:val="000000"/>
          <w:kern w:val="0"/>
        </w:rPr>
        <w:t>　第４条の書類を提出した者であること。</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（書類の提出）</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第４条　支援制度の適用を受けようとする社員は、次の書類を会社が指定する日までに提出しなければならない。</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奨学金等の借入総額及び返還計画が分かる書類の写し</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奨学金等の借入残高が分かる書類の写し</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支援対象者は、毎年、会社が指定する日に奨学金等を返還していることを証明する書類の写しを提出しなければならない。</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３　支援対象者は、返還計画等の変更があった場合には、速やかに会社に申し出なければならない。</w:t>
      </w:r>
    </w:p>
    <w:p>
      <w:pPr>
        <w:pStyle w:val="0"/>
        <w:spacing w:before="240" w:beforeLines="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第５条　</w:t>
      </w:r>
      <w:r>
        <w:rPr>
          <w:rFonts w:hint="default" w:ascii="ＭＳ 明朝" w:hAnsi="ＭＳ 明朝" w:eastAsia="ＭＳ 明朝"/>
          <w:color w:val="000000"/>
          <w:kern w:val="0"/>
        </w:rPr>
        <w:t>本規程に定める奨学金とは、次の各号のいずれかに該当する奨学金をいう。</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独立行政法人日本学生支援機構が貸与する奨学金</w:t>
      </w:r>
    </w:p>
    <w:p>
      <w:pPr>
        <w:pStyle w:val="0"/>
        <w:spacing w:line="360" w:lineRule="exact"/>
        <w:ind w:left="733" w:leftChars="200" w:hanging="313" w:hangingChars="149"/>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地方公共団体、大学、民間企業・団体などが貸与する奨学金。ただし、特定の職種へ就職した場合や特定の地域に居住した場合等に返還の全部又は一部が免除されることとなるものを除く。</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（奨学金返還支援手当）</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手当は、毎月の給与で支給する</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-48260</wp:posOffset>
                </wp:positionH>
                <wp:positionV relativeFrom="paragraph">
                  <wp:posOffset>107950</wp:posOffset>
                </wp:positionV>
                <wp:extent cx="5819775" cy="1200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19775" cy="1200150"/>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8.5pt;mso-position-vertical-relative:text;mso-position-horizontal-relative:text;position:absolute;height:94.5pt;mso-wrap-distance-top:0pt;width:458.25pt;mso-wrap-distance-left:16pt;margin-left:-3.8pt;z-index:6;" o:spid="_x0000_s1030"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（代理返還）</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代理返還は、毎月行う。（このほかの例：３月、６月、９月、</w:t>
      </w:r>
      <w:r>
        <w:rPr>
          <w:rFonts w:hint="eastAsia" w:ascii="ＭＳ 明朝" w:hAnsi="ＭＳ 明朝" w:eastAsia="ＭＳ 明朝"/>
          <w:color w:val="000000"/>
          <w:kern w:val="0"/>
        </w:rPr>
        <w:t>12</w:t>
      </w:r>
      <w:r>
        <w:rPr>
          <w:rFonts w:hint="eastAsia" w:ascii="ＭＳ 明朝" w:hAnsi="ＭＳ 明朝" w:eastAsia="ＭＳ 明朝"/>
          <w:color w:val="000000"/>
          <w:kern w:val="0"/>
        </w:rPr>
        <w:t>月の年４回行う。）</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（支援期間）</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第７条　支援期間は、次のいずれか早い月までとする。</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支援対象者が</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歳となる年度の末日の属する月</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支援対象者の採用年度を１年目として、５年目の年度の末日の属する月</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２　奨学金返還が終了した場合は、最終返還月まで支援する。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（規程の改廃）</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第８条　本規程を改廃する場合は、事前に社員に対して通知する。</w:t>
      </w:r>
    </w:p>
    <w:p>
      <w:pPr>
        <w:pStyle w:val="0"/>
        <w:spacing w:before="180" w:beforeLines="50" w:beforeAutospacing="0" w:line="360" w:lineRule="exact"/>
        <w:ind w:leftChars="0" w:firstLine="0" w:firstLineChars="0"/>
        <w:rPr>
          <w:rFonts w:hint="default" w:ascii="ＭＳ 明朝" w:hAnsi="ＭＳ 明朝" w:eastAsia="ＭＳ 明朝"/>
          <w:color w:val="000000"/>
          <w:kern w:val="0"/>
        </w:rPr>
      </w:pPr>
      <w:r>
        <w:rPr>
          <w:rFonts w:hint="eastAsia" w:ascii="ＭＳ 明朝" w:hAnsi="ＭＳ 明朝" w:eastAsia="ＭＳ 明朝"/>
          <w:color w:val="000000"/>
          <w:kern w:val="0"/>
        </w:rPr>
        <w:t>　　附　則</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　この規程は、　年　月　日から施行する。</w: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-38735</wp:posOffset>
                </wp:positionH>
                <wp:positionV relativeFrom="paragraph">
                  <wp:posOffset>173355</wp:posOffset>
                </wp:positionV>
                <wp:extent cx="5904230" cy="1536700"/>
                <wp:effectExtent l="635" t="635" r="29845" b="10795"/>
                <wp:wrapNone/>
                <wp:docPr id="1031" name="正方形/長方形 4"/>
                <a:graphic xmlns:a="http://schemas.openxmlformats.org/drawingml/2006/main">
                  <a:graphicData uri="http://schemas.microsoft.com/office/word/2010/wordprocessingShape">
                    <wps:wsp>
                      <wps:cNvPr id="1031" name="正方形/長方形 4"/>
                      <wps:cNvSpPr/>
                      <wps:spPr>
                        <a:xfrm>
                          <a:off x="0" y="0"/>
                          <a:ext cx="5904230" cy="15367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3.65pt;mso-position-vertical-relative:text;mso-position-horizontal-relative:text;v-text-anchor:middle;position:absolute;height:121pt;mso-wrap-distance-top:0pt;width:464.9pt;mso-wrap-distance-left:9pt;margin-left:-3.05pt;z-index:7;" o:spid="_x0000_s1031" o:allowincell="t" o:allowoverlap="t" filled="t" fillcolor="#ffffff [3212]" stroked="t" strokecolor="#000000 [3213]" strokeweight="0.25pt" o:spt="1">
                <v:fill/>
                <v:stroke linestyle="single" miterlimit="8" endcap="flat" dashstyle="solid" filltype="solid"/>
                <v:textbox style="layout-flow:horizontal;">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v:textbox>
                <v:imagedata o:title=""/>
                <w10:wrap type="none" anchorx="text" anchory="text"/>
              </v:rect>
            </w:pict>
          </mc:Fallback>
        </mc:AlternateConten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rPr>
          <w:rFonts w:hint="default" w:ascii="ＭＳ 明朝" w:hAnsi="ＭＳ 明朝" w:eastAsia="ＭＳ 明朝"/>
          <w:color w:val="000000"/>
          <w:kern w:val="0"/>
        </w:rPr>
      </w:pPr>
    </w:p>
    <w:sectPr>
      <w:pgSz w:w="11906" w:h="16838"/>
      <w:pgMar w:top="1417" w:right="1416"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563C1" w:themeColor="hyperlink"/>
      <w:u w:val="single" w:color="auto"/>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